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 w:val="0"/>
        <w:snapToGrid w:val="0"/>
        <w:spacing w:line="320" w:lineRule="atLeast"/>
        <w:ind w:firstLine="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五、案例分析题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一艘船长</w:t>
      </w:r>
      <w:r>
        <w:rPr>
          <w:szCs w:val="21"/>
        </w:rPr>
        <w:t>25</w:t>
      </w:r>
      <w:r>
        <w:rPr>
          <w:rFonts w:hint="eastAsia"/>
          <w:szCs w:val="21"/>
        </w:rPr>
        <w:t>.8</w:t>
      </w:r>
      <w:r>
        <w:rPr>
          <w:rFonts w:hint="eastAsia"/>
          <w:szCs w:val="21"/>
          <w:lang w:val="en-US" w:eastAsia="zh-CN"/>
        </w:rPr>
        <w:t>0</w:t>
      </w:r>
      <w:r>
        <w:rPr>
          <w:szCs w:val="21"/>
        </w:rPr>
        <w:t>m</w:t>
      </w:r>
      <w:r>
        <w:rPr>
          <w:rFonts w:hint="eastAsia"/>
          <w:szCs w:val="21"/>
        </w:rPr>
        <w:t>航行于沿海航区的钢质刺网渔船，船员为管理方便将设置在驾驶甲板的备用电源移至机舱。如果你是现场验船师是否允许这种改动，为什么？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tabs>
          <w:tab w:val="left" w:pos="1099"/>
        </w:tabs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（1）不允许；</w:t>
      </w:r>
    </w:p>
    <w:p>
      <w:pPr>
        <w:pStyle w:val="12"/>
        <w:adjustRightInd w:val="0"/>
        <w:snapToGrid w:val="0"/>
        <w:spacing w:line="320" w:lineRule="atLeas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szCs w:val="21"/>
          <w:lang w:val="en-US" w:eastAsia="zh-CN"/>
        </w:rPr>
        <w:t>依</w:t>
      </w:r>
      <w:r>
        <w:rPr>
          <w:rFonts w:hint="eastAsia" w:ascii="宋体" w:hAnsi="宋体" w:cs="宋体"/>
          <w:szCs w:val="21"/>
        </w:rPr>
        <w:t>据《国内海洋渔船法定检验技术规则（2019）》的要求，船长小于45m的船舶，如果不设应急电源，应设有独立的备用电源。备用电源的要求之一就是不应与主电源设置在同一处所，并应尽可能安装在最高一层连续甲板以上。因此这条船的备用电源做这样的改动是错误的，应当恢复原安装位置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验船人员对一艘船长29.8</w:t>
      </w:r>
      <w:r>
        <w:rPr>
          <w:rFonts w:hint="eastAsia"/>
          <w:szCs w:val="21"/>
          <w:lang w:val="en-US" w:eastAsia="zh-CN"/>
        </w:rPr>
        <w:t>0</w:t>
      </w:r>
      <w:r>
        <w:rPr>
          <w:szCs w:val="21"/>
        </w:rPr>
        <w:t>m</w:t>
      </w:r>
      <w:r>
        <w:rPr>
          <w:rFonts w:hint="eastAsia"/>
          <w:szCs w:val="21"/>
        </w:rPr>
        <w:t>钢质</w:t>
      </w:r>
      <w:r>
        <w:rPr>
          <w:rFonts w:hint="eastAsia"/>
          <w:szCs w:val="21"/>
          <w:lang w:val="en-US" w:eastAsia="zh-CN"/>
        </w:rPr>
        <w:t>近海</w:t>
      </w:r>
      <w:r>
        <w:rPr>
          <w:rFonts w:hint="eastAsia"/>
          <w:szCs w:val="21"/>
        </w:rPr>
        <w:t>拖网渔船进行年度检验，在检查应急电源供电时发现，电网在主电源失电后蓄电池组立即向应急网络供电，但通道内的各路应急照明均有开关控制。验船人员要求撤除开关，由应急配电板直接向通道内各路照明供电。你认为验船人员的要求是否正确</w:t>
      </w:r>
      <w:r>
        <w:rPr>
          <w:szCs w:val="21"/>
        </w:rPr>
        <w:t>?</w:t>
      </w:r>
      <w:r>
        <w:rPr>
          <w:rFonts w:hint="eastAsia"/>
          <w:szCs w:val="21"/>
        </w:rPr>
        <w:t>为什么？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tabs>
          <w:tab w:val="left" w:pos="1099"/>
        </w:tabs>
        <w:ind w:firstLine="420" w:firstLineChars="200"/>
        <w:jc w:val="left"/>
        <w:rPr>
          <w:szCs w:val="21"/>
        </w:rPr>
      </w:pPr>
      <w:r>
        <w:rPr>
          <w:rFonts w:hint="eastAsia" w:ascii="宋体" w:hAnsi="宋体" w:cs="宋体"/>
          <w:szCs w:val="21"/>
        </w:rPr>
        <w:t>（1）正确；</w:t>
      </w:r>
    </w:p>
    <w:p>
      <w:pPr>
        <w:tabs>
          <w:tab w:val="left" w:pos="1099"/>
        </w:tabs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2）</w:t>
      </w:r>
      <w:r>
        <w:rPr>
          <w:rFonts w:hint="eastAsia"/>
          <w:szCs w:val="21"/>
          <w:lang w:val="en-US" w:eastAsia="zh-CN"/>
        </w:rPr>
        <w:t>依</w:t>
      </w:r>
      <w:r>
        <w:rPr>
          <w:szCs w:val="21"/>
        </w:rPr>
        <w:t>据《国内海洋渔船法定检验技术规则（2019）》的要求，</w:t>
      </w:r>
      <w:r>
        <w:rPr>
          <w:rFonts w:hint="eastAsia"/>
          <w:szCs w:val="21"/>
        </w:rPr>
        <w:t>除驾驶室、救生艇筏存放处舷外的应急照明灯以及应急照明兼作主照明外，在应急照明电路中不应装设就地开关。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一艘船长29.8</w:t>
      </w:r>
      <w:r>
        <w:rPr>
          <w:rFonts w:hint="eastAsia"/>
          <w:szCs w:val="21"/>
          <w:lang w:val="en-US" w:eastAsia="zh-CN"/>
        </w:rPr>
        <w:t>0</w:t>
      </w:r>
      <w:r>
        <w:rPr>
          <w:szCs w:val="21"/>
        </w:rPr>
        <w:t>m</w:t>
      </w:r>
      <w:r>
        <w:rPr>
          <w:rFonts w:hint="eastAsia"/>
          <w:szCs w:val="21"/>
        </w:rPr>
        <w:t>钢质近海拖网渔船，全船用电设备耗电总功率</w:t>
      </w:r>
      <w:r>
        <w:rPr>
          <w:szCs w:val="21"/>
        </w:rPr>
        <w:t>30kW</w:t>
      </w:r>
      <w:r>
        <w:rPr>
          <w:rFonts w:hint="eastAsia"/>
          <w:szCs w:val="21"/>
        </w:rPr>
        <w:t>左右，因此配备</w:t>
      </w:r>
      <w:r>
        <w:rPr>
          <w:szCs w:val="21"/>
        </w:rPr>
        <w:t>40kW</w:t>
      </w:r>
      <w:r>
        <w:rPr>
          <w:rFonts w:hint="eastAsia"/>
          <w:szCs w:val="21"/>
        </w:rPr>
        <w:t>主发电机两台，后因设备问题，其中一台发电机无法正常工作，但船东认为单机可满足航行需要，没有及时进行修复。某次在航行过程中，发电机主开关突然跳闸，造成主电源失电，舵机失灵，造成碰撞事故。请分析该船主发电机的配备和保持是否与《</w:t>
      </w:r>
      <w:r>
        <w:rPr>
          <w:rFonts w:hint="eastAsia" w:ascii="宋体" w:hAnsi="宋体" w:cs="宋体"/>
          <w:szCs w:val="21"/>
        </w:rPr>
        <w:t>国内海洋渔船法定检验技术规则（2019）》</w:t>
      </w:r>
      <w:r>
        <w:rPr>
          <w:rFonts w:hint="eastAsia"/>
          <w:szCs w:val="21"/>
        </w:rPr>
        <w:t>相符。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tabs>
          <w:tab w:val="left" w:pos="1099"/>
        </w:tabs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（1）该船设计时，配备两台主发电机组，满足国内海洋渔船法定检验技术规则（2019）》要求；</w:t>
      </w:r>
    </w:p>
    <w:p>
      <w:pPr>
        <w:tabs>
          <w:tab w:val="left" w:pos="1099"/>
        </w:tabs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保持不符合规则要求，依据《国内海洋渔船法定检验技术规则（2019）》，船长小于45m的船舶，如果船舶推进和操纵必需要依靠主电源，则在任何一台运转中的发电机停止工作时，应在尽可能短的时间内恢复供电。而该船单机失灵的情况下，另外发电机无法启动，则不满足规则要求。</w:t>
      </w:r>
    </w:p>
    <w:p>
      <w:pPr>
        <w:pStyle w:val="12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一艘</w:t>
      </w:r>
      <w:r>
        <w:rPr>
          <w:rFonts w:hint="eastAsia"/>
          <w:szCs w:val="21"/>
          <w:lang w:val="en-US" w:eastAsia="zh-CN"/>
        </w:rPr>
        <w:t>A1海区</w:t>
      </w:r>
      <w:r>
        <w:rPr>
          <w:rFonts w:hint="eastAsia"/>
          <w:szCs w:val="21"/>
        </w:rPr>
        <w:t>的船长29.6</w:t>
      </w:r>
      <w:r>
        <w:rPr>
          <w:rFonts w:hint="eastAsia"/>
          <w:szCs w:val="21"/>
          <w:lang w:val="en-US" w:eastAsia="zh-CN"/>
        </w:rPr>
        <w:t>0</w:t>
      </w:r>
      <w:bookmarkStart w:id="0" w:name="_GoBack"/>
      <w:bookmarkEnd w:id="0"/>
      <w:r>
        <w:rPr>
          <w:szCs w:val="21"/>
        </w:rPr>
        <w:t>m</w:t>
      </w:r>
      <w:r>
        <w:rPr>
          <w:rFonts w:hint="eastAsia"/>
          <w:szCs w:val="21"/>
        </w:rPr>
        <w:t>钢质拖网渔船，因需求变更作业航区，由</w:t>
      </w:r>
      <w:r>
        <w:rPr>
          <w:rFonts w:hint="eastAsia"/>
          <w:szCs w:val="21"/>
          <w:lang w:val="en-US" w:eastAsia="zh-CN"/>
        </w:rPr>
        <w:t>A1海区</w:t>
      </w:r>
      <w:r>
        <w:rPr>
          <w:rFonts w:hint="eastAsia"/>
          <w:szCs w:val="21"/>
        </w:rPr>
        <w:t>改为</w:t>
      </w:r>
      <w:r>
        <w:rPr>
          <w:szCs w:val="21"/>
        </w:rPr>
        <w:t>A2</w:t>
      </w:r>
      <w:r>
        <w:rPr>
          <w:rFonts w:hint="eastAsia"/>
          <w:szCs w:val="21"/>
        </w:rPr>
        <w:t>海区作业，</w:t>
      </w:r>
      <w:r>
        <w:rPr>
          <w:rFonts w:hint="eastAsia"/>
          <w:szCs w:val="21"/>
          <w:lang w:val="en-US" w:eastAsia="zh-CN"/>
        </w:rPr>
        <w:t>验船师</w:t>
      </w:r>
      <w:r>
        <w:rPr>
          <w:rFonts w:hint="eastAsia"/>
          <w:szCs w:val="21"/>
        </w:rPr>
        <w:t>在临时检验时发现该船的无线电还是按原来</w:t>
      </w:r>
      <w:r>
        <w:rPr>
          <w:rFonts w:hint="eastAsia"/>
          <w:szCs w:val="21"/>
          <w:lang w:val="en-US" w:eastAsia="zh-CN"/>
        </w:rPr>
        <w:t>A1海区</w:t>
      </w:r>
      <w:r>
        <w:rPr>
          <w:rFonts w:hint="eastAsia"/>
          <w:szCs w:val="21"/>
        </w:rPr>
        <w:t>的要求配备，因此提出增加配备，问验船师的要求是否合理，如切实需要增配，应增配那些无线电设备？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tabs>
          <w:tab w:val="left" w:pos="1099"/>
        </w:tabs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</w:t>
      </w:r>
      <w:r>
        <w:rPr>
          <w:rFonts w:hint="eastAsia"/>
          <w:szCs w:val="21"/>
        </w:rPr>
        <w:t>验船师的要求合理；</w:t>
      </w:r>
    </w:p>
    <w:p>
      <w:pPr>
        <w:tabs>
          <w:tab w:val="left" w:pos="1099"/>
        </w:tabs>
        <w:ind w:firstLine="420" w:firstLineChars="200"/>
        <w:jc w:val="left"/>
        <w:rPr>
          <w:rFonts w:hint="default" w:ascii="黑体" w:hAnsi="黑体" w:eastAsia="宋体"/>
          <w:szCs w:val="21"/>
          <w:lang w:val="en-US" w:eastAsia="zh-CN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）依据</w:t>
      </w:r>
      <w:r>
        <w:rPr>
          <w:rFonts w:hint="eastAsia" w:ascii="宋体" w:hAnsi="宋体" w:cs="宋体"/>
          <w:szCs w:val="21"/>
        </w:rPr>
        <w:t>《国内海洋渔船法定检验技术规则（2019）》</w:t>
      </w:r>
      <w:r>
        <w:rPr>
          <w:rFonts w:hint="eastAsia"/>
          <w:szCs w:val="21"/>
        </w:rPr>
        <w:t>，该船需增配一台奈伏泰斯接收机（</w:t>
      </w:r>
      <w:r>
        <w:rPr>
          <w:szCs w:val="21"/>
        </w:rPr>
        <w:t>NAVTEX</w:t>
      </w:r>
      <w:r>
        <w:rPr>
          <w:rFonts w:hint="eastAsia"/>
          <w:szCs w:val="21"/>
        </w:rPr>
        <w:t>）；一台卫星紧急无线电示位标（</w:t>
      </w:r>
      <w:r>
        <w:rPr>
          <w:szCs w:val="21"/>
        </w:rPr>
        <w:t>406MHz-EPIRB</w:t>
      </w:r>
      <w:r>
        <w:rPr>
          <w:rFonts w:hint="eastAsia"/>
          <w:szCs w:val="21"/>
        </w:rPr>
        <w:t>）以及中频无线电装置（</w:t>
      </w:r>
      <w:r>
        <w:rPr>
          <w:szCs w:val="21"/>
        </w:rPr>
        <w:t>MF</w:t>
      </w:r>
      <w:r>
        <w:rPr>
          <w:rFonts w:hint="eastAsia"/>
          <w:szCs w:val="21"/>
        </w:rPr>
        <w:t>）或中频</w:t>
      </w:r>
      <w:r>
        <w:rPr>
          <w:szCs w:val="21"/>
        </w:rPr>
        <w:t>/</w:t>
      </w:r>
      <w:r>
        <w:rPr>
          <w:rFonts w:hint="eastAsia"/>
          <w:szCs w:val="21"/>
        </w:rPr>
        <w:t>高频无线电装置（</w:t>
      </w:r>
      <w:r>
        <w:rPr>
          <w:szCs w:val="21"/>
        </w:rPr>
        <w:t>MF/HF</w:t>
      </w:r>
      <w:r>
        <w:rPr>
          <w:rFonts w:hint="eastAsia"/>
          <w:szCs w:val="21"/>
        </w:rPr>
        <w:t>）或</w:t>
      </w:r>
      <w:r>
        <w:rPr>
          <w:szCs w:val="21"/>
        </w:rPr>
        <w:t xml:space="preserve">INMARSAT </w:t>
      </w:r>
      <w:r>
        <w:rPr>
          <w:rFonts w:hint="eastAsia"/>
          <w:szCs w:val="21"/>
        </w:rPr>
        <w:t>船舶地球站三者之一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  <w:lang w:val="en-US" w:eastAsia="zh-CN"/>
        </w:rPr>
        <w:t>一只搜救定位装置。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0A738E"/>
    <w:multiLevelType w:val="multilevel"/>
    <w:tmpl w:val="1F0A738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ind w:left="1140" w:hanging="720"/>
      </w:pPr>
      <w:rPr>
        <w:lang w:val="en-U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E1028"/>
    <w:rsid w:val="00036D17"/>
    <w:rsid w:val="0007050F"/>
    <w:rsid w:val="000B7380"/>
    <w:rsid w:val="000C2DD6"/>
    <w:rsid w:val="000D4CAA"/>
    <w:rsid w:val="000E27D4"/>
    <w:rsid w:val="00153C28"/>
    <w:rsid w:val="00156F70"/>
    <w:rsid w:val="00190AE5"/>
    <w:rsid w:val="001C46B4"/>
    <w:rsid w:val="002B647A"/>
    <w:rsid w:val="00351531"/>
    <w:rsid w:val="00377953"/>
    <w:rsid w:val="00387ABB"/>
    <w:rsid w:val="00447C7E"/>
    <w:rsid w:val="0046534E"/>
    <w:rsid w:val="00480DB8"/>
    <w:rsid w:val="004B7B9A"/>
    <w:rsid w:val="004E37D8"/>
    <w:rsid w:val="00535D43"/>
    <w:rsid w:val="005543EF"/>
    <w:rsid w:val="00556993"/>
    <w:rsid w:val="00594F7F"/>
    <w:rsid w:val="005D66B6"/>
    <w:rsid w:val="00637291"/>
    <w:rsid w:val="00643E68"/>
    <w:rsid w:val="006445E7"/>
    <w:rsid w:val="00677B1B"/>
    <w:rsid w:val="00740480"/>
    <w:rsid w:val="00766AD5"/>
    <w:rsid w:val="007761EC"/>
    <w:rsid w:val="007B67EE"/>
    <w:rsid w:val="007C19A0"/>
    <w:rsid w:val="007E1818"/>
    <w:rsid w:val="00857062"/>
    <w:rsid w:val="0091391E"/>
    <w:rsid w:val="00932E96"/>
    <w:rsid w:val="009375CB"/>
    <w:rsid w:val="0094421C"/>
    <w:rsid w:val="00982D3E"/>
    <w:rsid w:val="009C6D4A"/>
    <w:rsid w:val="009D6CBA"/>
    <w:rsid w:val="009E1028"/>
    <w:rsid w:val="00A20551"/>
    <w:rsid w:val="00A23976"/>
    <w:rsid w:val="00A42F0B"/>
    <w:rsid w:val="00AC7817"/>
    <w:rsid w:val="00AD18AD"/>
    <w:rsid w:val="00B0088A"/>
    <w:rsid w:val="00B5500B"/>
    <w:rsid w:val="00BA27AC"/>
    <w:rsid w:val="00BD2F71"/>
    <w:rsid w:val="00C075C0"/>
    <w:rsid w:val="00C15A9B"/>
    <w:rsid w:val="00C15C2F"/>
    <w:rsid w:val="00C763AE"/>
    <w:rsid w:val="00C84AFA"/>
    <w:rsid w:val="00CB56C8"/>
    <w:rsid w:val="00CC7D83"/>
    <w:rsid w:val="00D219B7"/>
    <w:rsid w:val="00D41FAA"/>
    <w:rsid w:val="00D616B9"/>
    <w:rsid w:val="00D828BD"/>
    <w:rsid w:val="00D86000"/>
    <w:rsid w:val="00DA3C20"/>
    <w:rsid w:val="00DD011C"/>
    <w:rsid w:val="00DD07F3"/>
    <w:rsid w:val="00DE5020"/>
    <w:rsid w:val="00DF330E"/>
    <w:rsid w:val="00E54C06"/>
    <w:rsid w:val="00E6146A"/>
    <w:rsid w:val="00E866EE"/>
    <w:rsid w:val="00EB6B83"/>
    <w:rsid w:val="00F540DD"/>
    <w:rsid w:val="00FA7534"/>
    <w:rsid w:val="00FE13C1"/>
    <w:rsid w:val="010827C0"/>
    <w:rsid w:val="01791910"/>
    <w:rsid w:val="01D37272"/>
    <w:rsid w:val="043F2BBC"/>
    <w:rsid w:val="04602913"/>
    <w:rsid w:val="05DC07B9"/>
    <w:rsid w:val="062115AD"/>
    <w:rsid w:val="07047ECE"/>
    <w:rsid w:val="093D4DB1"/>
    <w:rsid w:val="0A173A74"/>
    <w:rsid w:val="0DCA4C12"/>
    <w:rsid w:val="0F28295A"/>
    <w:rsid w:val="10515CD0"/>
    <w:rsid w:val="10C5247C"/>
    <w:rsid w:val="11AC7198"/>
    <w:rsid w:val="11C75D80"/>
    <w:rsid w:val="11EC57E6"/>
    <w:rsid w:val="145C30F7"/>
    <w:rsid w:val="14DD1F47"/>
    <w:rsid w:val="158F4E06"/>
    <w:rsid w:val="16B54D41"/>
    <w:rsid w:val="16B8213B"/>
    <w:rsid w:val="176D3F82"/>
    <w:rsid w:val="17990CF7"/>
    <w:rsid w:val="1A406A75"/>
    <w:rsid w:val="1AB84304"/>
    <w:rsid w:val="1E9B67CC"/>
    <w:rsid w:val="1F3B2723"/>
    <w:rsid w:val="1F413615"/>
    <w:rsid w:val="20344F28"/>
    <w:rsid w:val="207D60B5"/>
    <w:rsid w:val="21962D82"/>
    <w:rsid w:val="219B0079"/>
    <w:rsid w:val="219C4B33"/>
    <w:rsid w:val="234B06D3"/>
    <w:rsid w:val="238E0DF3"/>
    <w:rsid w:val="23D21997"/>
    <w:rsid w:val="26217CFD"/>
    <w:rsid w:val="291C420C"/>
    <w:rsid w:val="2AF44046"/>
    <w:rsid w:val="2BB93306"/>
    <w:rsid w:val="2D1A7254"/>
    <w:rsid w:val="2DF80288"/>
    <w:rsid w:val="2E0C1292"/>
    <w:rsid w:val="2FCA731F"/>
    <w:rsid w:val="334D2131"/>
    <w:rsid w:val="33817E8E"/>
    <w:rsid w:val="35C65F46"/>
    <w:rsid w:val="35F752F9"/>
    <w:rsid w:val="361E1B63"/>
    <w:rsid w:val="36E536B9"/>
    <w:rsid w:val="38A00FED"/>
    <w:rsid w:val="39C90037"/>
    <w:rsid w:val="3A8B1791"/>
    <w:rsid w:val="3A8D195C"/>
    <w:rsid w:val="3E7E3ADD"/>
    <w:rsid w:val="3FA27361"/>
    <w:rsid w:val="433A3D54"/>
    <w:rsid w:val="45D85B67"/>
    <w:rsid w:val="461E774A"/>
    <w:rsid w:val="47A25E97"/>
    <w:rsid w:val="4840398C"/>
    <w:rsid w:val="4997083F"/>
    <w:rsid w:val="4AE7656F"/>
    <w:rsid w:val="4C72630D"/>
    <w:rsid w:val="4E766588"/>
    <w:rsid w:val="4F894099"/>
    <w:rsid w:val="50C335DB"/>
    <w:rsid w:val="517B3EB5"/>
    <w:rsid w:val="52FB0311"/>
    <w:rsid w:val="530F2B07"/>
    <w:rsid w:val="53663AF1"/>
    <w:rsid w:val="53D53D51"/>
    <w:rsid w:val="570566FB"/>
    <w:rsid w:val="572B31E3"/>
    <w:rsid w:val="574C257C"/>
    <w:rsid w:val="578435E0"/>
    <w:rsid w:val="59934492"/>
    <w:rsid w:val="5AC858D3"/>
    <w:rsid w:val="5B942B74"/>
    <w:rsid w:val="5E634918"/>
    <w:rsid w:val="614A0682"/>
    <w:rsid w:val="62830E1C"/>
    <w:rsid w:val="628A03FC"/>
    <w:rsid w:val="65680CF7"/>
    <w:rsid w:val="65DE0437"/>
    <w:rsid w:val="66432D9C"/>
    <w:rsid w:val="66AC1B17"/>
    <w:rsid w:val="6A2904FB"/>
    <w:rsid w:val="6A843977"/>
    <w:rsid w:val="6A9E524D"/>
    <w:rsid w:val="6BA50055"/>
    <w:rsid w:val="6CE7753D"/>
    <w:rsid w:val="6DB4457F"/>
    <w:rsid w:val="6E3B3E98"/>
    <w:rsid w:val="6F694F47"/>
    <w:rsid w:val="706A53C9"/>
    <w:rsid w:val="70D3077D"/>
    <w:rsid w:val="716B764B"/>
    <w:rsid w:val="71E847F7"/>
    <w:rsid w:val="738C7903"/>
    <w:rsid w:val="73A80986"/>
    <w:rsid w:val="75D64A4F"/>
    <w:rsid w:val="77583B52"/>
    <w:rsid w:val="77AC105E"/>
    <w:rsid w:val="79134850"/>
    <w:rsid w:val="7B257692"/>
    <w:rsid w:val="7E07150A"/>
    <w:rsid w:val="7F2D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semiHidden/>
    <w:unhideWhenUsed/>
    <w:qFormat/>
    <w:uiPriority w:val="0"/>
    <w:rPr>
      <w:rFonts w:ascii="宋体" w:hAnsi="Courier New" w:eastAsiaTheme="minorEastAsia" w:cstheme="minorBidi"/>
      <w:szCs w:val="22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qFormat/>
    <w:uiPriority w:val="0"/>
    <w:rPr>
      <w:color w:val="0000FF"/>
      <w:szCs w:val="20"/>
      <w:u w:val="single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纯文本 字符"/>
    <w:basedOn w:val="7"/>
    <w:link w:val="2"/>
    <w:semiHidden/>
    <w:qFormat/>
    <w:uiPriority w:val="0"/>
    <w:rPr>
      <w:rFonts w:ascii="宋体" w:hAnsi="Courier New"/>
    </w:rPr>
  </w:style>
  <w:style w:type="character" w:customStyle="1" w:styleId="15">
    <w:name w:val="纯文本 字符1"/>
    <w:basedOn w:val="7"/>
    <w:semiHidden/>
    <w:qFormat/>
    <w:uiPriority w:val="99"/>
    <w:rPr>
      <w:rFonts w:hint="eastAsia" w:hAnsi="Courier New" w:eastAsia="等线" w:cs="Courier New" w:asciiTheme="minorEastAsia"/>
      <w:szCs w:val="24"/>
    </w:rPr>
  </w:style>
  <w:style w:type="character" w:customStyle="1" w:styleId="16">
    <w:name w:val="批注框文本 字符"/>
    <w:basedOn w:val="7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998</Words>
  <Characters>1074</Characters>
  <Lines>7</Lines>
  <Paragraphs>2</Paragraphs>
  <TotalTime>1</TotalTime>
  <ScaleCrop>false</ScaleCrop>
  <LinksUpToDate>false</LinksUpToDate>
  <CharactersWithSpaces>1075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2023-07-24T03:31:00Z</dcterms:created>
  <dc:creator>姚静</dc:creator>
  <cp:lastModifiedBy>jsyj-ysc2</cp:lastModifiedBy>
  <dcterms:modified xsi:type="dcterms:W3CDTF">2023-09-02T08:41:46Z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889BC14800844B839F38CA74B5DFA046_12</vt:lpwstr>
  </property>
</Properties>
</file>